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8E78DD" w14:textId="57C1EE8E" w:rsidR="00912DFE" w:rsidRDefault="00912DFE" w:rsidP="00794539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sz w:val="24"/>
          <w:szCs w:val="24"/>
          <w:u w:val="single"/>
        </w:rPr>
        <w:t xml:space="preserve">ALUMNOS: </w:t>
      </w:r>
    </w:p>
    <w:p w14:paraId="273127C0" w14:textId="180BBE2F" w:rsidR="0039030D" w:rsidRPr="00CE526B" w:rsidRDefault="0039030D" w:rsidP="0079453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CE526B">
        <w:rPr>
          <w:rFonts w:ascii="Arial" w:hAnsi="Arial" w:cs="Arial"/>
          <w:b/>
          <w:bCs/>
          <w:sz w:val="24"/>
          <w:szCs w:val="24"/>
          <w:u w:val="single"/>
        </w:rPr>
        <w:t>TRABAJO PRACTICO Nº 3</w:t>
      </w:r>
    </w:p>
    <w:p w14:paraId="3E65CDB9" w14:textId="77777777" w:rsidR="006B64D3" w:rsidRDefault="006B64D3" w:rsidP="0079453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BC3BC9E" w14:textId="54947BF0" w:rsidR="003C6544" w:rsidRPr="003C6544" w:rsidRDefault="00820785" w:rsidP="0079453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E526B">
        <w:rPr>
          <w:rFonts w:ascii="Arial" w:hAnsi="Arial" w:cs="Arial"/>
          <w:bCs/>
          <w:sz w:val="24"/>
          <w:szCs w:val="24"/>
        </w:rPr>
        <w:t>L</w:t>
      </w:r>
      <w:r w:rsidR="00CE526B" w:rsidRPr="00CE526B">
        <w:rPr>
          <w:rFonts w:ascii="Arial" w:hAnsi="Arial" w:cs="Arial"/>
          <w:bCs/>
          <w:sz w:val="24"/>
          <w:szCs w:val="24"/>
        </w:rPr>
        <w:t xml:space="preserve">ea </w:t>
      </w:r>
      <w:r w:rsidRPr="00CE526B">
        <w:rPr>
          <w:rFonts w:ascii="Arial" w:hAnsi="Arial" w:cs="Arial"/>
          <w:bCs/>
          <w:sz w:val="24"/>
          <w:szCs w:val="24"/>
        </w:rPr>
        <w:t xml:space="preserve">atentamente la sentencia judicial en el caso </w:t>
      </w:r>
      <w:r w:rsidRPr="00CE526B">
        <w:rPr>
          <w:rFonts w:ascii="Arial" w:hAnsi="Arial" w:cs="Arial"/>
          <w:b/>
          <w:bCs/>
          <w:sz w:val="24"/>
          <w:szCs w:val="24"/>
        </w:rPr>
        <w:t>“Delegación de Asociaciones I</w:t>
      </w:r>
      <w:r w:rsidR="0039030D" w:rsidRPr="00CE526B">
        <w:rPr>
          <w:rFonts w:ascii="Arial" w:hAnsi="Arial" w:cs="Arial"/>
          <w:b/>
          <w:bCs/>
          <w:sz w:val="24"/>
          <w:szCs w:val="24"/>
        </w:rPr>
        <w:t xml:space="preserve">sraelitas Argentinas (DAIA) vs. </w:t>
      </w:r>
      <w:r w:rsidRPr="00CE526B">
        <w:rPr>
          <w:rFonts w:ascii="Arial" w:hAnsi="Arial" w:cs="Arial"/>
          <w:b/>
          <w:bCs/>
          <w:sz w:val="24"/>
          <w:szCs w:val="24"/>
        </w:rPr>
        <w:t>Gobierno de la Ciudad de Buenos</w:t>
      </w:r>
      <w:r w:rsidR="0039030D" w:rsidRPr="00CE526B">
        <w:rPr>
          <w:rFonts w:ascii="Arial" w:hAnsi="Arial" w:cs="Arial"/>
          <w:b/>
          <w:bCs/>
          <w:sz w:val="24"/>
          <w:szCs w:val="24"/>
        </w:rPr>
        <w:t xml:space="preserve"> Aires y otros”</w:t>
      </w:r>
      <w:r w:rsidR="006F2F3D">
        <w:rPr>
          <w:rFonts w:ascii="Arial" w:hAnsi="Arial" w:cs="Arial"/>
          <w:bCs/>
          <w:sz w:val="24"/>
          <w:szCs w:val="24"/>
        </w:rPr>
        <w:t xml:space="preserve">, </w:t>
      </w:r>
      <w:r w:rsidR="0039030D" w:rsidRPr="00CE526B">
        <w:rPr>
          <w:rFonts w:ascii="Arial" w:hAnsi="Arial" w:cs="Arial"/>
          <w:bCs/>
          <w:sz w:val="24"/>
          <w:szCs w:val="24"/>
        </w:rPr>
        <w:t>r</w:t>
      </w:r>
      <w:r w:rsidRPr="00CE526B">
        <w:rPr>
          <w:rFonts w:ascii="Arial" w:hAnsi="Arial" w:cs="Arial"/>
          <w:sz w:val="24"/>
          <w:szCs w:val="24"/>
        </w:rPr>
        <w:t xml:space="preserve">esuelto por el </w:t>
      </w:r>
      <w:r w:rsidR="00CE526B" w:rsidRPr="00CE526B">
        <w:rPr>
          <w:rFonts w:ascii="Arial" w:hAnsi="Arial" w:cs="Arial"/>
          <w:sz w:val="24"/>
          <w:szCs w:val="24"/>
        </w:rPr>
        <w:t>Juzgado</w:t>
      </w:r>
      <w:r w:rsidR="003C6544">
        <w:rPr>
          <w:rFonts w:ascii="Arial" w:hAnsi="Arial" w:cs="Arial"/>
          <w:sz w:val="24"/>
          <w:szCs w:val="24"/>
        </w:rPr>
        <w:t xml:space="preserve"> </w:t>
      </w:r>
      <w:r w:rsidR="0039030D" w:rsidRPr="00CE526B">
        <w:rPr>
          <w:rFonts w:ascii="Arial" w:hAnsi="Arial" w:cs="Arial"/>
          <w:sz w:val="24"/>
          <w:szCs w:val="24"/>
        </w:rPr>
        <w:t>Cont.</w:t>
      </w:r>
      <w:r w:rsidR="00CE526B" w:rsidRPr="00CE526B">
        <w:rPr>
          <w:rFonts w:ascii="Arial" w:hAnsi="Arial" w:cs="Arial"/>
          <w:sz w:val="24"/>
          <w:szCs w:val="24"/>
        </w:rPr>
        <w:t xml:space="preserve"> </w:t>
      </w:r>
      <w:r w:rsidR="0039030D" w:rsidRPr="00CE526B">
        <w:rPr>
          <w:rFonts w:ascii="Arial" w:hAnsi="Arial" w:cs="Arial"/>
          <w:sz w:val="24"/>
          <w:szCs w:val="24"/>
        </w:rPr>
        <w:t>Adm.</w:t>
      </w:r>
      <w:r w:rsidR="003C6544">
        <w:rPr>
          <w:rFonts w:ascii="Arial" w:hAnsi="Arial" w:cs="Arial"/>
          <w:sz w:val="24"/>
          <w:szCs w:val="24"/>
        </w:rPr>
        <w:t xml:space="preserve"> y </w:t>
      </w:r>
      <w:r w:rsidR="0039030D" w:rsidRPr="00CE526B">
        <w:rPr>
          <w:rFonts w:ascii="Arial" w:hAnsi="Arial" w:cs="Arial"/>
          <w:sz w:val="24"/>
          <w:szCs w:val="24"/>
        </w:rPr>
        <w:t>Tributario Nº</w:t>
      </w:r>
      <w:r w:rsidR="003C6544">
        <w:rPr>
          <w:rFonts w:ascii="Arial" w:hAnsi="Arial" w:cs="Arial"/>
          <w:sz w:val="24"/>
          <w:szCs w:val="24"/>
        </w:rPr>
        <w:t xml:space="preserve"> </w:t>
      </w:r>
      <w:r w:rsidR="0039030D" w:rsidRPr="00CE526B">
        <w:rPr>
          <w:rFonts w:ascii="Arial" w:hAnsi="Arial" w:cs="Arial"/>
          <w:sz w:val="24"/>
          <w:szCs w:val="24"/>
        </w:rPr>
        <w:t xml:space="preserve">13 de la </w:t>
      </w:r>
      <w:r w:rsidRPr="00CE526B">
        <w:rPr>
          <w:rFonts w:ascii="Arial" w:hAnsi="Arial" w:cs="Arial"/>
          <w:sz w:val="24"/>
          <w:szCs w:val="24"/>
        </w:rPr>
        <w:t>C</w:t>
      </w:r>
      <w:r w:rsidR="00CE526B" w:rsidRPr="00CE526B">
        <w:rPr>
          <w:rFonts w:ascii="Arial" w:hAnsi="Arial" w:cs="Arial"/>
          <w:sz w:val="24"/>
          <w:szCs w:val="24"/>
        </w:rPr>
        <w:t xml:space="preserve">iudad Autónoma de Buenos Aires </w:t>
      </w:r>
      <w:r w:rsidRPr="00CE526B">
        <w:rPr>
          <w:rFonts w:ascii="Arial" w:hAnsi="Arial" w:cs="Arial"/>
          <w:sz w:val="24"/>
          <w:szCs w:val="24"/>
        </w:rPr>
        <w:t>(21/11/2023)</w:t>
      </w:r>
      <w:r w:rsidR="003C6544">
        <w:rPr>
          <w:rFonts w:ascii="Arial" w:hAnsi="Arial" w:cs="Arial"/>
          <w:sz w:val="24"/>
          <w:szCs w:val="24"/>
        </w:rPr>
        <w:t xml:space="preserve"> y responda:</w:t>
      </w:r>
    </w:p>
    <w:p w14:paraId="2F27DE54" w14:textId="77777777" w:rsidR="00CE526B" w:rsidRDefault="00CE526B" w:rsidP="0079453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278909B2" w14:textId="77777777" w:rsidR="00CE526B" w:rsidRPr="003C6544" w:rsidRDefault="00CE526B" w:rsidP="00794539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CE526B">
        <w:rPr>
          <w:rFonts w:ascii="Arial" w:hAnsi="Arial" w:cs="Arial"/>
          <w:sz w:val="24"/>
          <w:szCs w:val="24"/>
        </w:rPr>
        <w:t>¿C</w:t>
      </w:r>
      <w:r>
        <w:rPr>
          <w:rFonts w:ascii="Arial" w:hAnsi="Arial" w:cs="Arial"/>
          <w:sz w:val="24"/>
          <w:szCs w:val="24"/>
        </w:rPr>
        <w:t xml:space="preserve">uál fue el fundamento </w:t>
      </w:r>
      <w:r w:rsidR="003C6544">
        <w:rPr>
          <w:rFonts w:ascii="Arial" w:hAnsi="Arial" w:cs="Arial"/>
          <w:sz w:val="24"/>
          <w:szCs w:val="24"/>
        </w:rPr>
        <w:t xml:space="preserve">principal </w:t>
      </w:r>
      <w:r w:rsidRPr="00CE526B">
        <w:rPr>
          <w:rFonts w:ascii="Arial" w:hAnsi="Arial" w:cs="Arial"/>
          <w:sz w:val="24"/>
          <w:szCs w:val="24"/>
        </w:rPr>
        <w:t>por el que la DAIA solicitó la cancelación de los recitales de Roger Waters en Buenos Aires?</w:t>
      </w:r>
    </w:p>
    <w:p w14:paraId="4F45A896" w14:textId="77777777" w:rsidR="003C6544" w:rsidRPr="00CE526B" w:rsidRDefault="003C6544" w:rsidP="00794539">
      <w:pPr>
        <w:pStyle w:val="Prrafodelista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E6161CD" w14:textId="77777777" w:rsidR="003C6544" w:rsidRPr="003C6544" w:rsidRDefault="00CE526B" w:rsidP="00794539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CE526B">
        <w:rPr>
          <w:rFonts w:ascii="Arial" w:hAnsi="Arial" w:cs="Arial"/>
          <w:sz w:val="24"/>
          <w:szCs w:val="24"/>
        </w:rPr>
        <w:t xml:space="preserve">¿Qué hechos y declaraciones previas de Roger Waters fueron considerados por la DAIA como </w:t>
      </w:r>
      <w:r w:rsidR="003C6544">
        <w:rPr>
          <w:rFonts w:ascii="Arial" w:hAnsi="Arial" w:cs="Arial"/>
          <w:sz w:val="24"/>
          <w:szCs w:val="24"/>
        </w:rPr>
        <w:t>discriminatorios o antisemitas?</w:t>
      </w:r>
    </w:p>
    <w:p w14:paraId="38F1D11C" w14:textId="77777777" w:rsidR="003C6544" w:rsidRPr="003C6544" w:rsidRDefault="003C6544" w:rsidP="00794539">
      <w:pPr>
        <w:pStyle w:val="Prrafodelista"/>
        <w:spacing w:line="360" w:lineRule="auto"/>
        <w:rPr>
          <w:rFonts w:ascii="Arial" w:hAnsi="Arial" w:cs="Arial"/>
          <w:sz w:val="24"/>
          <w:szCs w:val="24"/>
        </w:rPr>
      </w:pPr>
    </w:p>
    <w:p w14:paraId="2FEFFEA2" w14:textId="77777777" w:rsidR="003C6544" w:rsidRPr="003C6544" w:rsidRDefault="00CE526B" w:rsidP="00794539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3C6544">
        <w:rPr>
          <w:rFonts w:ascii="Arial" w:hAnsi="Arial" w:cs="Arial"/>
          <w:sz w:val="24"/>
          <w:szCs w:val="24"/>
        </w:rPr>
        <w:t>¿Qué argumentos presentó el Ministerio Público Fiscal para rechazar la medida c</w:t>
      </w:r>
      <w:r w:rsidR="003C6544">
        <w:rPr>
          <w:rFonts w:ascii="Arial" w:hAnsi="Arial" w:cs="Arial"/>
          <w:sz w:val="24"/>
          <w:szCs w:val="24"/>
        </w:rPr>
        <w:t>autelar solicitada por la DAIA?</w:t>
      </w:r>
    </w:p>
    <w:p w14:paraId="25085010" w14:textId="77777777" w:rsidR="003C6544" w:rsidRPr="003C6544" w:rsidRDefault="003C6544" w:rsidP="00794539">
      <w:pPr>
        <w:pStyle w:val="Prrafodelista"/>
        <w:spacing w:line="360" w:lineRule="auto"/>
        <w:rPr>
          <w:rFonts w:ascii="Arial" w:hAnsi="Arial" w:cs="Arial"/>
          <w:sz w:val="24"/>
          <w:szCs w:val="24"/>
        </w:rPr>
      </w:pPr>
    </w:p>
    <w:p w14:paraId="4AF44D07" w14:textId="77777777" w:rsidR="003C6544" w:rsidRPr="003C6544" w:rsidRDefault="003C6544" w:rsidP="00794539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¿Cómo interpretó </w:t>
      </w:r>
      <w:r w:rsidR="00CE526B" w:rsidRPr="003C6544">
        <w:rPr>
          <w:rFonts w:ascii="Arial" w:hAnsi="Arial" w:cs="Arial"/>
          <w:sz w:val="24"/>
          <w:szCs w:val="24"/>
        </w:rPr>
        <w:t>el tribunal la relación entre el derecho a la no discriminación y la libertad de ex</w:t>
      </w:r>
      <w:r>
        <w:rPr>
          <w:rFonts w:ascii="Arial" w:hAnsi="Arial" w:cs="Arial"/>
          <w:sz w:val="24"/>
          <w:szCs w:val="24"/>
        </w:rPr>
        <w:t>presión artística en este caso?</w:t>
      </w:r>
    </w:p>
    <w:p w14:paraId="193BEFDE" w14:textId="77777777" w:rsidR="003C6544" w:rsidRPr="003C6544" w:rsidRDefault="003C6544" w:rsidP="00794539">
      <w:pPr>
        <w:pStyle w:val="Prrafodelista"/>
        <w:spacing w:line="360" w:lineRule="auto"/>
        <w:rPr>
          <w:rFonts w:ascii="Arial" w:hAnsi="Arial" w:cs="Arial"/>
          <w:sz w:val="24"/>
          <w:szCs w:val="24"/>
        </w:rPr>
      </w:pPr>
    </w:p>
    <w:p w14:paraId="2B6DE7D3" w14:textId="2EB09936" w:rsidR="003C6544" w:rsidRPr="006F2F3D" w:rsidRDefault="00CE526B" w:rsidP="00794539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3C6544">
        <w:rPr>
          <w:rFonts w:ascii="Arial" w:hAnsi="Arial" w:cs="Arial"/>
          <w:sz w:val="24"/>
          <w:szCs w:val="24"/>
        </w:rPr>
        <w:t>¿Qué normativa nacional e internacional se cita en la sentencia para fundamentar la protección contra la discriminac</w:t>
      </w:r>
      <w:r w:rsidR="003C6544">
        <w:rPr>
          <w:rFonts w:ascii="Arial" w:hAnsi="Arial" w:cs="Arial"/>
          <w:sz w:val="24"/>
          <w:szCs w:val="24"/>
        </w:rPr>
        <w:t>ión y la libertad de expresión?</w:t>
      </w:r>
    </w:p>
    <w:p w14:paraId="3EB84131" w14:textId="77777777" w:rsidR="006F2F3D" w:rsidRPr="006F2F3D" w:rsidRDefault="006F2F3D" w:rsidP="006F2F3D">
      <w:pPr>
        <w:pStyle w:val="Prrafodelista"/>
        <w:rPr>
          <w:rFonts w:ascii="Arial" w:hAnsi="Arial" w:cs="Arial"/>
          <w:bCs/>
          <w:sz w:val="24"/>
          <w:szCs w:val="24"/>
        </w:rPr>
      </w:pPr>
    </w:p>
    <w:p w14:paraId="47F28A81" w14:textId="007A94CF" w:rsidR="006F2F3D" w:rsidRPr="006F2F3D" w:rsidRDefault="006F2F3D" w:rsidP="006F2F3D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F2F3D">
        <w:rPr>
          <w:rFonts w:ascii="Arial" w:hAnsi="Arial" w:cs="Arial"/>
          <w:bCs/>
          <w:sz w:val="24"/>
          <w:szCs w:val="24"/>
        </w:rPr>
        <w:t>Tratándose el caso de un espectáculo publico ¿considera Ud. que pudo quedar sometido a censura previa? Justifique su respuesta.</w:t>
      </w:r>
    </w:p>
    <w:p w14:paraId="32634AC4" w14:textId="77777777" w:rsidR="003C6544" w:rsidRPr="003C6544" w:rsidRDefault="003C6544" w:rsidP="00794539">
      <w:pPr>
        <w:pStyle w:val="Prrafodelista"/>
        <w:spacing w:line="360" w:lineRule="auto"/>
        <w:rPr>
          <w:rFonts w:ascii="Arial" w:hAnsi="Arial" w:cs="Arial"/>
          <w:sz w:val="24"/>
          <w:szCs w:val="24"/>
        </w:rPr>
      </w:pPr>
    </w:p>
    <w:p w14:paraId="33EA9ACC" w14:textId="733D1256" w:rsidR="003C6544" w:rsidRPr="006B64D3" w:rsidRDefault="00CC6B1A" w:rsidP="006B64D3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¿Por qué el tribunal consideró </w:t>
      </w:r>
      <w:r w:rsidR="00CE526B" w:rsidRPr="003C6544">
        <w:rPr>
          <w:rFonts w:ascii="Arial" w:hAnsi="Arial" w:cs="Arial"/>
          <w:sz w:val="24"/>
          <w:szCs w:val="24"/>
        </w:rPr>
        <w:t>que la cancelación de los recitales constitu</w:t>
      </w:r>
      <w:r w:rsidR="003C6544">
        <w:rPr>
          <w:rFonts w:ascii="Arial" w:hAnsi="Arial" w:cs="Arial"/>
          <w:sz w:val="24"/>
          <w:szCs w:val="24"/>
        </w:rPr>
        <w:t>iría un acto de censura previa?</w:t>
      </w:r>
      <w:r w:rsidR="006F2F3D">
        <w:rPr>
          <w:rFonts w:ascii="Arial" w:hAnsi="Arial" w:cs="Arial"/>
          <w:sz w:val="24"/>
          <w:szCs w:val="24"/>
        </w:rPr>
        <w:t xml:space="preserve"> </w:t>
      </w:r>
      <w:r w:rsidR="006B64D3">
        <w:rPr>
          <w:rFonts w:ascii="Arial" w:hAnsi="Arial" w:cs="Arial"/>
          <w:sz w:val="24"/>
          <w:szCs w:val="24"/>
        </w:rPr>
        <w:t xml:space="preserve">Fundamente en las normativas invocadas por </w:t>
      </w:r>
      <w:r w:rsidR="006F2F3D">
        <w:rPr>
          <w:rFonts w:ascii="Arial" w:hAnsi="Arial" w:cs="Arial"/>
          <w:sz w:val="24"/>
          <w:szCs w:val="24"/>
        </w:rPr>
        <w:t xml:space="preserve">el tribunal </w:t>
      </w:r>
      <w:r w:rsidR="006B64D3">
        <w:rPr>
          <w:rFonts w:ascii="Arial" w:hAnsi="Arial" w:cs="Arial"/>
          <w:sz w:val="24"/>
          <w:szCs w:val="24"/>
        </w:rPr>
        <w:t>para decidir como lo hizo.</w:t>
      </w:r>
    </w:p>
    <w:p w14:paraId="43162899" w14:textId="6A1DDD91" w:rsidR="006B64D3" w:rsidRPr="006B64D3" w:rsidRDefault="006B64D3" w:rsidP="006B64D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91153D7" w14:textId="79D2A40B" w:rsidR="006B64D3" w:rsidRPr="006F2F3D" w:rsidRDefault="00CE526B" w:rsidP="00734A3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F2F3D">
        <w:rPr>
          <w:rFonts w:ascii="Arial" w:hAnsi="Arial" w:cs="Arial"/>
          <w:sz w:val="24"/>
          <w:szCs w:val="24"/>
        </w:rPr>
        <w:t>¿Qué importancia tiene el concepto de “responsabilidad ulterior” en el contexto de la libertad d</w:t>
      </w:r>
      <w:r w:rsidR="003C6544" w:rsidRPr="006F2F3D">
        <w:rPr>
          <w:rFonts w:ascii="Arial" w:hAnsi="Arial" w:cs="Arial"/>
          <w:sz w:val="24"/>
          <w:szCs w:val="24"/>
        </w:rPr>
        <w:t>e expresión según la sentencia</w:t>
      </w:r>
      <w:r w:rsidR="003C6544">
        <w:rPr>
          <w:rFonts w:ascii="Arial" w:hAnsi="Arial" w:cs="Arial"/>
          <w:sz w:val="24"/>
          <w:szCs w:val="24"/>
        </w:rPr>
        <w:t>?</w:t>
      </w:r>
    </w:p>
    <w:sectPr w:rsidR="006B64D3" w:rsidRPr="006F2F3D" w:rsidSect="006F2F3D">
      <w:pgSz w:w="11907" w:h="16840" w:code="9"/>
      <w:pgMar w:top="2268" w:right="113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84AD9"/>
    <w:multiLevelType w:val="hybridMultilevel"/>
    <w:tmpl w:val="79BC9B8A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7B46D0"/>
    <w:multiLevelType w:val="hybridMultilevel"/>
    <w:tmpl w:val="C3205BE0"/>
    <w:lvl w:ilvl="0" w:tplc="2C0A0011">
      <w:start w:val="1"/>
      <w:numFmt w:val="decimal"/>
      <w:lvlText w:val="%1)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785"/>
    <w:rsid w:val="001E2B8E"/>
    <w:rsid w:val="0039030D"/>
    <w:rsid w:val="003C6544"/>
    <w:rsid w:val="006B64D3"/>
    <w:rsid w:val="006F2F3D"/>
    <w:rsid w:val="00794539"/>
    <w:rsid w:val="00820785"/>
    <w:rsid w:val="00884307"/>
    <w:rsid w:val="00912DFE"/>
    <w:rsid w:val="00BE55DA"/>
    <w:rsid w:val="00CC6B1A"/>
    <w:rsid w:val="00CE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149F9"/>
  <w15:chartTrackingRefBased/>
  <w15:docId w15:val="{0FA50B03-3FDC-4DB1-9166-389F5FD3D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207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3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215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Ileana Godoy</dc:creator>
  <cp:keywords/>
  <dc:description/>
  <cp:lastModifiedBy>Ileana Godoy</cp:lastModifiedBy>
  <cp:revision>6</cp:revision>
  <dcterms:created xsi:type="dcterms:W3CDTF">2026-04-27T16:01:00Z</dcterms:created>
  <dcterms:modified xsi:type="dcterms:W3CDTF">2026-04-27T17:17:00Z</dcterms:modified>
</cp:coreProperties>
</file>